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Liberation Serif" w:hAnsi="Liberation Serif"/>
          <w:caps/>
          <w:color w:val="371B00"/>
          <w:sz w:val="24"/>
          <w:u w:val="single"/>
        </w:rPr>
      </w:pPr>
      <w:bookmarkStart w:id="0" w:name="_GoBack"/>
      <w:bookmarkEnd w:id="0"/>
      <w:r>
        <w:rPr>
          <w:rFonts w:ascii="Liberation Serif" w:hAnsi="Liberation Serif"/>
          <w:caps/>
          <w:color w:val="371B00"/>
          <w:sz w:val="24"/>
          <w:u w:val="single"/>
        </w:rPr>
        <w:t xml:space="preserve">Modèle </w:t>
      </w:r>
    </w:p>
    <w:p>
      <w:pPr>
        <w:jc w:val="center"/>
        <w:rPr>
          <w:rFonts w:ascii="Liberation Serif" w:hAnsi="Liberation Serif"/>
          <w:caps/>
          <w:color w:val="371B00"/>
          <w:sz w:val="24"/>
          <w:u w:val="single"/>
        </w:rPr>
      </w:pPr>
      <w:r>
        <w:rPr>
          <w:rFonts w:ascii="Liberation Serif" w:hAnsi="Liberation Serif"/>
          <w:caps/>
          <w:color w:val="371B00"/>
          <w:sz w:val="24"/>
          <w:u w:val="single"/>
        </w:rPr>
        <w:t xml:space="preserve">de courrier pour inciter les autorités municipales </w:t>
      </w:r>
      <w:proofErr w:type="gramStart"/>
      <w:r>
        <w:rPr>
          <w:rFonts w:ascii="Liberation Serif" w:hAnsi="Liberation Serif"/>
          <w:caps/>
          <w:color w:val="371B00"/>
          <w:sz w:val="24"/>
          <w:u w:val="single"/>
        </w:rPr>
        <w:t>à</w:t>
      </w:r>
      <w:proofErr w:type="gramEnd"/>
      <w:r>
        <w:rPr>
          <w:rFonts w:ascii="Liberation Serif" w:hAnsi="Liberation Serif"/>
          <w:caps/>
          <w:color w:val="371B00"/>
          <w:sz w:val="24"/>
          <w:u w:val="single"/>
        </w:rPr>
        <w:t xml:space="preserve"> user de leur pouvoir </w:t>
      </w:r>
    </w:p>
    <w:p>
      <w:pPr>
        <w:jc w:val="center"/>
        <w:rPr>
          <w:rFonts w:ascii="Liberation Serif" w:hAnsi="Liberation Serif"/>
          <w:caps/>
          <w:color w:val="371B00"/>
          <w:sz w:val="24"/>
          <w:u w:val="single"/>
        </w:rPr>
      </w:pPr>
      <w:r>
        <w:rPr>
          <w:rFonts w:ascii="Liberation Serif" w:hAnsi="Liberation Serif"/>
          <w:caps/>
          <w:color w:val="371B00"/>
          <w:sz w:val="24"/>
          <w:u w:val="single"/>
        </w:rPr>
        <w:t>pour faire face au déploiement du compteur Linky</w:t>
      </w: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jc w:val="center"/>
        <w:rPr>
          <w:rFonts w:ascii="Liberation Serif" w:hAnsi="Liberation Serif"/>
          <w:color w:val="371B00"/>
          <w:sz w:val="24"/>
          <w:u w:val="single"/>
        </w:rPr>
      </w:pPr>
      <w:r>
        <w:rPr>
          <w:rFonts w:ascii="Liberation Serif" w:hAnsi="Liberation Serif"/>
          <w:color w:val="371B00"/>
          <w:sz w:val="24"/>
          <w:u w:val="single"/>
        </w:rPr>
        <w:t>Par courrier recommandé avec accusé de réception</w:t>
      </w:r>
    </w:p>
    <w:p>
      <w:pPr>
        <w:spacing w:line="240" w:lineRule="auto"/>
        <w:jc w:val="center"/>
        <w:rPr>
          <w:rFonts w:ascii="Liberation Serif" w:hAnsi="Liberation Serif"/>
          <w:color w:val="371B00"/>
          <w:sz w:val="24"/>
          <w:u w:val="single"/>
        </w:rPr>
      </w:pPr>
      <w:r>
        <w:rPr>
          <w:rFonts w:ascii="Liberation Serif" w:hAnsi="Liberation Serif"/>
          <w:color w:val="371B00"/>
          <w:sz w:val="24"/>
          <w:u w:val="single"/>
        </w:rPr>
        <w:t>Voir page suivante</w:t>
      </w:r>
    </w:p>
    <w:p>
      <w:pPr>
        <w:spacing w:line="240" w:lineRule="auto"/>
        <w:jc w:val="center"/>
        <w:rPr>
          <w:rFonts w:ascii="Liberation Serif" w:hAnsi="Liberation Serif"/>
          <w:color w:val="371B00"/>
          <w:sz w:val="24"/>
          <w:u w:val="single"/>
        </w:rPr>
      </w:pPr>
    </w:p>
    <w:p>
      <w:pPr>
        <w:spacing w:line="240" w:lineRule="auto"/>
        <w:jc w:val="center"/>
        <w:rPr>
          <w:rFonts w:ascii="Liberation Serif" w:hAnsi="Liberation Serif"/>
          <w:color w:val="371B00"/>
          <w:sz w:val="24"/>
          <w:u w:val="single"/>
        </w:rPr>
      </w:pPr>
    </w:p>
    <w:p>
      <w:pPr>
        <w:spacing w:line="240" w:lineRule="auto"/>
        <w:jc w:val="center"/>
        <w:rPr>
          <w:rFonts w:ascii="Liberation Serif" w:hAnsi="Liberation Serif"/>
          <w:color w:val="371B00"/>
          <w:sz w:val="24"/>
          <w:u w:val="single"/>
        </w:rPr>
      </w:pPr>
    </w:p>
    <w:p>
      <w:pPr>
        <w:spacing w:line="240" w:lineRule="auto"/>
        <w:jc w:val="center"/>
        <w:rPr>
          <w:rFonts w:ascii="Liberation Serif" w:hAnsi="Liberation Serif"/>
          <w:color w:val="371B00"/>
          <w:sz w:val="24"/>
          <w:u w:val="single"/>
        </w:rPr>
      </w:pPr>
    </w:p>
    <w:p>
      <w:pPr>
        <w:spacing w:line="240" w:lineRule="auto"/>
        <w:jc w:val="center"/>
        <w:rPr>
          <w:rFonts w:ascii="Liberation Serif" w:hAnsi="Liberation Serif"/>
          <w:color w:val="371B00"/>
          <w:sz w:val="24"/>
          <w:u w:val="single"/>
        </w:rPr>
      </w:pPr>
    </w:p>
    <w:p>
      <w:pPr>
        <w:spacing w:line="240" w:lineRule="auto"/>
        <w:ind w:left="5664" w:firstLine="708"/>
        <w:jc w:val="center"/>
        <w:rPr>
          <w:rFonts w:ascii="Liberation Serif" w:hAnsi="Liberation Serif"/>
          <w:color w:val="371B00"/>
          <w:sz w:val="24"/>
        </w:rPr>
      </w:pPr>
    </w:p>
    <w:p>
      <w:pPr>
        <w:spacing w:line="240" w:lineRule="auto"/>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40" w:lineRule="auto"/>
        <w:ind w:left="6372"/>
        <w:rPr>
          <w:rFonts w:ascii="Liberation Serif" w:hAnsi="Liberation Serif"/>
          <w:color w:val="371B00"/>
          <w:sz w:val="24"/>
        </w:rPr>
      </w:pPr>
    </w:p>
    <w:p>
      <w:pPr>
        <w:spacing w:line="255" w:lineRule="exact"/>
        <w:ind w:left="6372"/>
        <w:rPr>
          <w:rFonts w:ascii="Liberation Serif" w:hAnsi="Liberation Serif"/>
          <w:color w:val="371B00"/>
          <w:sz w:val="24"/>
        </w:rPr>
      </w:pPr>
    </w:p>
    <w:p>
      <w:pPr>
        <w:spacing w:line="255" w:lineRule="exact"/>
        <w:rPr>
          <w:rFonts w:ascii="Liberation Serif" w:hAnsi="Liberation Serif"/>
          <w:color w:val="371B00"/>
          <w:sz w:val="24"/>
        </w:rPr>
      </w:pPr>
      <w:r>
        <w:rPr>
          <w:rFonts w:ascii="Liberation Serif" w:hAnsi="Liberation Serif"/>
          <w:color w:val="000000"/>
          <w:sz w:val="24"/>
        </w:rPr>
        <w:lastRenderedPageBreak/>
        <w:t>Expéditeur :</w:t>
      </w:r>
    </w:p>
    <w:p>
      <w:pPr>
        <w:spacing w:line="255" w:lineRule="exact"/>
        <w:rPr>
          <w:rFonts w:ascii="Liberation Serif" w:hAnsi="Liberation Serif"/>
          <w:color w:val="371B00"/>
          <w:sz w:val="24"/>
        </w:rPr>
      </w:pPr>
      <w:r>
        <w:rPr>
          <w:rFonts w:ascii="Liberation Serif" w:hAnsi="Liberation Serif"/>
          <w:color w:val="000000"/>
          <w:sz w:val="24"/>
        </w:rPr>
        <w:tab/>
      </w:r>
      <w:r>
        <w:rPr>
          <w:rFonts w:ascii="Liberation Serif" w:hAnsi="Liberation Serif"/>
          <w:color w:val="000000"/>
          <w:sz w:val="24"/>
        </w:rPr>
        <w:tab/>
      </w:r>
      <w:r>
        <w:rPr>
          <w:rFonts w:ascii="Liberation Serif" w:hAnsi="Liberation Serif"/>
          <w:color w:val="000000"/>
          <w:sz w:val="24"/>
        </w:rPr>
        <w:tab/>
      </w:r>
      <w:r>
        <w:rPr>
          <w:rFonts w:ascii="Liberation Serif" w:hAnsi="Liberation Serif"/>
          <w:color w:val="000000"/>
          <w:sz w:val="24"/>
        </w:rPr>
        <w:tab/>
      </w:r>
      <w:r>
        <w:rPr>
          <w:rFonts w:ascii="Liberation Serif" w:hAnsi="Liberation Serif"/>
          <w:color w:val="000000"/>
          <w:sz w:val="24"/>
        </w:rPr>
        <w:tab/>
      </w:r>
      <w:r>
        <w:rPr>
          <w:rFonts w:ascii="Liberation Serif" w:hAnsi="Liberation Serif"/>
          <w:color w:val="000000"/>
          <w:sz w:val="24"/>
        </w:rPr>
        <w:tab/>
      </w:r>
      <w:r>
        <w:rPr>
          <w:rFonts w:ascii="Liberation Serif" w:hAnsi="Liberation Serif"/>
          <w:color w:val="000000"/>
          <w:sz w:val="24"/>
        </w:rPr>
        <w:tab/>
      </w:r>
      <w:r>
        <w:rPr>
          <w:rFonts w:ascii="Liberation Serif" w:hAnsi="Liberation Serif"/>
          <w:color w:val="000000"/>
          <w:sz w:val="24"/>
        </w:rPr>
        <w:tab/>
      </w:r>
      <w:r>
        <w:rPr>
          <w:rFonts w:ascii="Liberation Serif" w:hAnsi="Liberation Serif"/>
          <w:color w:val="000000"/>
          <w:sz w:val="24"/>
        </w:rPr>
        <w:tab/>
      </w:r>
      <w:r>
        <w:rPr>
          <w:rFonts w:ascii="Liberation Serif" w:hAnsi="Liberation Serif"/>
          <w:color w:val="371B00"/>
          <w:sz w:val="24"/>
        </w:rPr>
        <w:t>Madame, Monsieur le Maire et Mesdames,</w:t>
      </w:r>
    </w:p>
    <w:p>
      <w:pPr>
        <w:spacing w:line="255" w:lineRule="exact"/>
        <w:rPr>
          <w:rFonts w:ascii="Liberation Serif" w:hAnsi="Liberation Serif"/>
          <w:color w:val="371B00"/>
          <w:sz w:val="24"/>
        </w:rPr>
      </w:pPr>
      <w:r>
        <w:rPr>
          <w:rFonts w:ascii="Liberation Serif" w:hAnsi="Liberation Serif"/>
          <w:color w:val="371B00"/>
          <w:sz w:val="24"/>
        </w:rPr>
        <w:tab/>
      </w:r>
      <w:r>
        <w:rPr>
          <w:rFonts w:ascii="Liberation Serif" w:hAnsi="Liberation Serif"/>
          <w:color w:val="371B00"/>
          <w:sz w:val="24"/>
        </w:rPr>
        <w:tab/>
      </w:r>
      <w:r>
        <w:rPr>
          <w:rFonts w:ascii="Liberation Serif" w:hAnsi="Liberation Serif"/>
          <w:color w:val="371B00"/>
          <w:sz w:val="24"/>
        </w:rPr>
        <w:tab/>
      </w:r>
      <w:r>
        <w:rPr>
          <w:rFonts w:ascii="Liberation Serif" w:hAnsi="Liberation Serif"/>
          <w:color w:val="371B00"/>
          <w:sz w:val="24"/>
        </w:rPr>
        <w:tab/>
      </w:r>
      <w:r>
        <w:rPr>
          <w:rFonts w:ascii="Liberation Serif" w:hAnsi="Liberation Serif"/>
          <w:color w:val="371B00"/>
          <w:sz w:val="24"/>
        </w:rPr>
        <w:tab/>
      </w:r>
      <w:r>
        <w:rPr>
          <w:rFonts w:ascii="Liberation Serif" w:hAnsi="Liberation Serif"/>
          <w:color w:val="371B00"/>
          <w:sz w:val="24"/>
        </w:rPr>
        <w:tab/>
      </w:r>
      <w:r>
        <w:rPr>
          <w:rFonts w:ascii="Liberation Serif" w:hAnsi="Liberation Serif"/>
          <w:color w:val="371B00"/>
          <w:sz w:val="24"/>
        </w:rPr>
        <w:tab/>
      </w:r>
      <w:r>
        <w:rPr>
          <w:rFonts w:ascii="Liberation Serif" w:hAnsi="Liberation Serif"/>
          <w:color w:val="371B00"/>
          <w:sz w:val="24"/>
        </w:rPr>
        <w:tab/>
      </w:r>
      <w:r>
        <w:rPr>
          <w:rFonts w:ascii="Liberation Serif" w:hAnsi="Liberation Serif"/>
          <w:color w:val="371B00"/>
          <w:sz w:val="24"/>
        </w:rPr>
        <w:tab/>
        <w:t>Messieurs les Conseillers Municipaux de la</w:t>
      </w:r>
    </w:p>
    <w:p>
      <w:pPr>
        <w:spacing w:line="255" w:lineRule="exact"/>
        <w:rPr>
          <w:rFonts w:ascii="Liberation Serif" w:hAnsi="Liberation Serif"/>
          <w:color w:val="371B00"/>
          <w:sz w:val="24"/>
        </w:rPr>
      </w:pPr>
      <w:r>
        <w:rPr>
          <w:rFonts w:ascii="Liberation Serif" w:hAnsi="Liberation Serif"/>
          <w:color w:val="371B00"/>
          <w:sz w:val="24"/>
        </w:rPr>
        <w:tab/>
        <w:t xml:space="preserve"> </w:t>
      </w:r>
      <w:r>
        <w:rPr>
          <w:rFonts w:ascii="Liberation Serif" w:hAnsi="Liberation Serif"/>
          <w:color w:val="371B00"/>
          <w:sz w:val="24"/>
        </w:rPr>
        <w:tab/>
      </w:r>
      <w:r>
        <w:rPr>
          <w:rFonts w:ascii="Liberation Serif" w:hAnsi="Liberation Serif"/>
          <w:color w:val="371B00"/>
          <w:sz w:val="24"/>
        </w:rPr>
        <w:tab/>
      </w:r>
      <w:r>
        <w:rPr>
          <w:rFonts w:ascii="Liberation Serif" w:hAnsi="Liberation Serif"/>
          <w:color w:val="371B00"/>
          <w:sz w:val="24"/>
        </w:rPr>
        <w:tab/>
      </w:r>
      <w:r>
        <w:rPr>
          <w:rFonts w:ascii="Liberation Serif" w:hAnsi="Liberation Serif"/>
          <w:color w:val="371B00"/>
          <w:sz w:val="24"/>
        </w:rPr>
        <w:tab/>
      </w:r>
      <w:r>
        <w:rPr>
          <w:rFonts w:ascii="Liberation Serif" w:hAnsi="Liberation Serif"/>
          <w:color w:val="371B00"/>
          <w:sz w:val="24"/>
        </w:rPr>
        <w:tab/>
      </w:r>
      <w:r>
        <w:rPr>
          <w:rFonts w:ascii="Liberation Serif" w:hAnsi="Liberation Serif"/>
          <w:color w:val="371B00"/>
          <w:sz w:val="24"/>
        </w:rPr>
        <w:tab/>
      </w:r>
      <w:r>
        <w:rPr>
          <w:rFonts w:ascii="Liberation Serif" w:hAnsi="Liberation Serif"/>
          <w:color w:val="371B00"/>
          <w:sz w:val="24"/>
        </w:rPr>
        <w:tab/>
      </w:r>
      <w:r>
        <w:rPr>
          <w:rFonts w:ascii="Liberation Serif" w:hAnsi="Liberation Serif"/>
          <w:color w:val="371B00"/>
          <w:sz w:val="24"/>
        </w:rPr>
        <w:tab/>
      </w:r>
      <w:proofErr w:type="gramStart"/>
      <w:r>
        <w:rPr>
          <w:rFonts w:ascii="Liberation Serif" w:hAnsi="Liberation Serif"/>
          <w:color w:val="371B00"/>
          <w:sz w:val="24"/>
        </w:rPr>
        <w:t>commune</w:t>
      </w:r>
      <w:proofErr w:type="gramEnd"/>
      <w:r>
        <w:rPr>
          <w:rFonts w:ascii="Liberation Serif" w:hAnsi="Liberation Serif"/>
          <w:color w:val="371B00"/>
          <w:sz w:val="24"/>
        </w:rPr>
        <w:t xml:space="preserve"> de </w:t>
      </w:r>
    </w:p>
    <w:p>
      <w:pPr>
        <w:spacing w:line="255" w:lineRule="exact"/>
        <w:rPr>
          <w:rFonts w:ascii="Liberation Serif" w:hAnsi="Liberation Serif"/>
          <w:color w:val="371B00"/>
          <w:sz w:val="24"/>
        </w:rPr>
      </w:pPr>
    </w:p>
    <w:p>
      <w:pPr>
        <w:spacing w:line="255" w:lineRule="exact"/>
        <w:ind w:left="6406"/>
        <w:rPr>
          <w:rFonts w:ascii="Liberation Serif" w:hAnsi="Liberation Serif"/>
          <w:color w:val="371B00"/>
          <w:sz w:val="24"/>
        </w:rPr>
      </w:pPr>
      <w:r>
        <w:rPr>
          <w:rFonts w:ascii="Liberation Serif" w:hAnsi="Liberation Serif"/>
          <w:color w:val="371B00"/>
          <w:sz w:val="24"/>
        </w:rPr>
        <w:t>XXXXX</w:t>
      </w:r>
    </w:p>
    <w:p>
      <w:pPr>
        <w:spacing w:line="255" w:lineRule="exact"/>
        <w:ind w:left="6372"/>
        <w:rPr>
          <w:rFonts w:ascii="Liberation Serif" w:hAnsi="Liberation Serif"/>
          <w:color w:val="371B00"/>
          <w:sz w:val="24"/>
        </w:rPr>
      </w:pPr>
    </w:p>
    <w:p>
      <w:pPr>
        <w:spacing w:line="255" w:lineRule="exact"/>
        <w:rPr>
          <w:rFonts w:ascii="Liberation Serif" w:hAnsi="Liberation Serif"/>
          <w:color w:val="371B00"/>
          <w:sz w:val="24"/>
        </w:rPr>
      </w:pPr>
      <w:r>
        <w:rPr>
          <w:rFonts w:ascii="Liberation Serif" w:hAnsi="Liberation Serif"/>
          <w:color w:val="371B00"/>
          <w:sz w:val="24"/>
        </w:rPr>
        <w:t>Lettre recommandé avec AR</w:t>
      </w:r>
      <w:r>
        <w:rPr>
          <w:rFonts w:ascii="Liberation Serif" w:hAnsi="Liberation Serif"/>
          <w:color w:val="371B00"/>
          <w:sz w:val="24"/>
        </w:rPr>
        <w:tab/>
      </w:r>
      <w:r>
        <w:rPr>
          <w:rFonts w:ascii="Liberation Serif" w:hAnsi="Liberation Serif"/>
          <w:color w:val="371B00"/>
          <w:sz w:val="24"/>
        </w:rPr>
        <w:tab/>
      </w:r>
      <w:r>
        <w:rPr>
          <w:rFonts w:ascii="Liberation Serif" w:hAnsi="Liberation Serif"/>
          <w:color w:val="371B00"/>
          <w:sz w:val="24"/>
        </w:rPr>
        <w:tab/>
      </w:r>
      <w:r>
        <w:rPr>
          <w:rFonts w:ascii="Liberation Serif" w:hAnsi="Liberation Serif"/>
          <w:color w:val="371B00"/>
          <w:sz w:val="24"/>
        </w:rPr>
        <w:tab/>
      </w:r>
      <w:r>
        <w:rPr>
          <w:rFonts w:ascii="Liberation Serif" w:hAnsi="Liberation Serif"/>
          <w:color w:val="371B00"/>
          <w:sz w:val="24"/>
        </w:rPr>
        <w:tab/>
      </w:r>
      <w:r>
        <w:rPr>
          <w:rFonts w:ascii="Liberation Serif" w:hAnsi="Liberation Serif"/>
          <w:color w:val="371B00"/>
          <w:sz w:val="24"/>
        </w:rPr>
        <w:tab/>
        <w:t>A</w:t>
      </w:r>
      <w:proofErr w:type="gramStart"/>
      <w:r>
        <w:rPr>
          <w:rFonts w:ascii="Liberation Serif" w:hAnsi="Liberation Serif"/>
          <w:color w:val="371B00"/>
          <w:sz w:val="24"/>
        </w:rPr>
        <w:t>………..,</w:t>
      </w:r>
      <w:proofErr w:type="gramEnd"/>
      <w:r>
        <w:rPr>
          <w:rFonts w:ascii="Liberation Serif" w:hAnsi="Liberation Serif"/>
          <w:color w:val="371B00"/>
          <w:sz w:val="24"/>
        </w:rPr>
        <w:t xml:space="preserve"> le……….</w:t>
      </w:r>
    </w:p>
    <w:p>
      <w:pPr>
        <w:spacing w:line="255" w:lineRule="exact"/>
        <w:rPr>
          <w:rFonts w:ascii="Liberation Serif" w:hAnsi="Liberation Serif"/>
          <w:color w:val="371B00"/>
          <w:sz w:val="24"/>
        </w:rPr>
      </w:pPr>
    </w:p>
    <w:p>
      <w:pPr>
        <w:spacing w:line="255" w:lineRule="exact"/>
        <w:rPr>
          <w:rFonts w:ascii="Liberation Serif" w:hAnsi="Liberation Serif"/>
          <w:color w:val="371B00"/>
          <w:sz w:val="24"/>
          <w:u w:val="single"/>
        </w:rPr>
      </w:pPr>
    </w:p>
    <w:p>
      <w:pPr>
        <w:spacing w:line="255" w:lineRule="exact"/>
        <w:rPr>
          <w:rFonts w:ascii="Liberation Serif" w:hAnsi="Liberation Serif"/>
          <w:sz w:val="24"/>
        </w:rPr>
      </w:pPr>
      <w:r>
        <w:rPr>
          <w:rFonts w:ascii="Liberation Serif" w:hAnsi="Liberation Serif"/>
          <w:color w:val="371B00"/>
          <w:sz w:val="24"/>
          <w:u w:val="single"/>
        </w:rPr>
        <w:t>Objet :</w:t>
      </w:r>
      <w:r>
        <w:rPr>
          <w:rFonts w:ascii="Liberation Serif" w:hAnsi="Liberation Serif"/>
          <w:color w:val="371B00"/>
          <w:sz w:val="24"/>
        </w:rPr>
        <w:t xml:space="preserve"> </w:t>
      </w:r>
      <w:r>
        <w:rPr>
          <w:rFonts w:ascii="Liberation Serif" w:hAnsi="Liberation Serif"/>
          <w:b/>
          <w:bCs/>
          <w:color w:val="371B00"/>
          <w:sz w:val="24"/>
        </w:rPr>
        <w:t xml:space="preserve">Compteurs communicants </w:t>
      </w:r>
      <w:proofErr w:type="spellStart"/>
      <w:r>
        <w:rPr>
          <w:rFonts w:ascii="Liberation Serif" w:hAnsi="Liberation Serif"/>
          <w:b/>
          <w:bCs/>
          <w:color w:val="371B00"/>
          <w:sz w:val="24"/>
        </w:rPr>
        <w:t>Linky</w:t>
      </w:r>
      <w:proofErr w:type="spellEnd"/>
      <w:r>
        <w:rPr>
          <w:rFonts w:ascii="Liberation Serif" w:hAnsi="Liberation Serif"/>
          <w:b/>
          <w:bCs/>
          <w:color w:val="371B00"/>
          <w:sz w:val="24"/>
        </w:rPr>
        <w:t xml:space="preserve"> – actions à entreprendre</w:t>
      </w:r>
    </w:p>
    <w:p>
      <w:pPr>
        <w:spacing w:line="255" w:lineRule="exact"/>
        <w:rPr>
          <w:rFonts w:ascii="Liberation Serif" w:hAnsi="Liberation Serif"/>
          <w:color w:val="371B00"/>
          <w:sz w:val="24"/>
        </w:rPr>
      </w:pPr>
    </w:p>
    <w:p>
      <w:pPr>
        <w:spacing w:line="255" w:lineRule="exact"/>
        <w:rPr>
          <w:rFonts w:ascii="Liberation Serif" w:hAnsi="Liberation Serif"/>
          <w:color w:val="371B00"/>
          <w:sz w:val="24"/>
        </w:rPr>
      </w:pPr>
      <w:r>
        <w:rPr>
          <w:rFonts w:ascii="Liberation Serif" w:hAnsi="Liberation Serif"/>
          <w:color w:val="371B00"/>
          <w:sz w:val="24"/>
        </w:rPr>
        <w:t xml:space="preserve">Madame, Monsieur le Maire, </w:t>
      </w:r>
    </w:p>
    <w:p>
      <w:pPr>
        <w:spacing w:line="255" w:lineRule="exact"/>
        <w:rPr>
          <w:rFonts w:ascii="Liberation Serif" w:hAnsi="Liberation Serif"/>
          <w:color w:val="371B00"/>
          <w:sz w:val="24"/>
        </w:rPr>
      </w:pPr>
      <w:r>
        <w:rPr>
          <w:rFonts w:ascii="Liberation Serif" w:hAnsi="Liberation Serif"/>
          <w:color w:val="371B00"/>
          <w:sz w:val="24"/>
        </w:rPr>
        <w:t>Mesdames, Messieurs les Conseillers Municipaux,</w:t>
      </w:r>
    </w:p>
    <w:p>
      <w:pPr>
        <w:spacing w:line="255" w:lineRule="exact"/>
        <w:rPr>
          <w:rFonts w:ascii="Liberation Serif" w:hAnsi="Liberation Serif"/>
          <w:color w:val="371B00"/>
          <w:sz w:val="24"/>
        </w:rPr>
      </w:pPr>
    </w:p>
    <w:p>
      <w:pPr>
        <w:spacing w:line="255" w:lineRule="exact"/>
        <w:rPr>
          <w:rFonts w:ascii="Liberation Serif" w:hAnsi="Liberation Serif"/>
          <w:color w:val="371B00"/>
          <w:sz w:val="24"/>
        </w:rPr>
      </w:pPr>
      <w:r>
        <w:rPr>
          <w:rFonts w:ascii="Liberation Serif" w:hAnsi="Liberation Serif"/>
          <w:color w:val="371B00"/>
          <w:sz w:val="24"/>
        </w:rPr>
        <w:t xml:space="preserve">Je me permets de vous solliciter concernant les compteurs communicants </w:t>
      </w:r>
      <w:proofErr w:type="spellStart"/>
      <w:r>
        <w:rPr>
          <w:rFonts w:ascii="Liberation Serif" w:hAnsi="Liberation Serif"/>
          <w:color w:val="371B00"/>
          <w:sz w:val="24"/>
        </w:rPr>
        <w:t>Linky</w:t>
      </w:r>
      <w:proofErr w:type="spellEnd"/>
      <w:r>
        <w:rPr>
          <w:rFonts w:ascii="Liberation Serif" w:hAnsi="Liberation Serif"/>
          <w:color w:val="371B00"/>
          <w:sz w:val="24"/>
        </w:rPr>
        <w:t xml:space="preserve"> devant être installés prochainement sur la Commune.</w:t>
      </w:r>
    </w:p>
    <w:p>
      <w:pPr>
        <w:spacing w:line="255" w:lineRule="exact"/>
        <w:rPr>
          <w:rFonts w:ascii="Liberation Serif" w:hAnsi="Liberation Serif"/>
          <w:color w:val="371B00"/>
          <w:sz w:val="24"/>
        </w:rPr>
      </w:pPr>
    </w:p>
    <w:p>
      <w:pPr>
        <w:spacing w:line="255" w:lineRule="exact"/>
        <w:rPr>
          <w:rFonts w:ascii="Liberation Serif" w:hAnsi="Liberation Serif"/>
          <w:color w:val="371B00"/>
          <w:sz w:val="24"/>
        </w:rPr>
      </w:pPr>
      <w:r>
        <w:rPr>
          <w:rFonts w:ascii="Liberation Serif" w:hAnsi="Liberation Serif"/>
          <w:color w:val="371B00"/>
          <w:sz w:val="24"/>
        </w:rPr>
        <w:t>Comme vous le savez, ces compteurs permettent de collecter de nouvelles données de consommation. Ils enregistrent ainsi des données permettant de déterminer l’heure de lever, de coucher, la présence ou l’absence de personnes dans le logement, le nombre de personnes présentes, la consommation d’eau chaude, etc.</w:t>
      </w:r>
    </w:p>
    <w:p>
      <w:pPr>
        <w:spacing w:line="255" w:lineRule="exact"/>
        <w:rPr>
          <w:rFonts w:ascii="Liberation Serif" w:hAnsi="Liberation Serif"/>
          <w:color w:val="371B00"/>
          <w:sz w:val="24"/>
        </w:rPr>
      </w:pPr>
      <w:r>
        <w:rPr>
          <w:rFonts w:ascii="Liberation Serif" w:hAnsi="Liberation Serif"/>
          <w:color w:val="371B00"/>
          <w:sz w:val="24"/>
        </w:rPr>
        <w:t>Autant de données qui traduisent l’intimité de la vie privée et peuvent être exploitées à toutes autres fins que le service de distribution ou de fourniture d’électricité dans le cadre duquel elles sont collectées.</w:t>
      </w:r>
    </w:p>
    <w:p>
      <w:pPr>
        <w:spacing w:line="255" w:lineRule="exact"/>
        <w:rPr>
          <w:rFonts w:ascii="Liberation Serif" w:hAnsi="Liberation Serif"/>
          <w:color w:val="371B00"/>
          <w:sz w:val="24"/>
        </w:rPr>
      </w:pPr>
    </w:p>
    <w:p>
      <w:pPr>
        <w:spacing w:line="255" w:lineRule="exact"/>
        <w:rPr>
          <w:rFonts w:ascii="Liberation Serif" w:hAnsi="Liberation Serif"/>
          <w:sz w:val="24"/>
        </w:rPr>
      </w:pPr>
      <w:r>
        <w:rPr>
          <w:rFonts w:ascii="Liberation Serif" w:hAnsi="Liberation Serif"/>
          <w:color w:val="371B00"/>
          <w:sz w:val="24"/>
        </w:rPr>
        <w:t xml:space="preserve">Or l’article R. 341-5 du code de l’énergie accorde aux personnes la </w:t>
      </w:r>
      <w:r>
        <w:rPr>
          <w:rFonts w:ascii="Liberation Serif" w:hAnsi="Liberation Serif"/>
          <w:b/>
          <w:color w:val="371B00"/>
          <w:sz w:val="24"/>
        </w:rPr>
        <w:t>libre disposition de leurs données personnelles</w:t>
      </w:r>
      <w:r>
        <w:rPr>
          <w:rFonts w:ascii="Liberation Serif" w:hAnsi="Liberation Serif"/>
          <w:color w:val="371B00"/>
          <w:sz w:val="24"/>
        </w:rPr>
        <w:t>. Cependant, ce droit apparaît artificiel lorsque les personnes ne sont pas mises en position de l’exercer, comme c’est le cas en l’espèce puisque, d’une part, elles sont privées de toute possibilité de refuser l’installation des compteurs (I.) et que, d’autre part, le fonctionnement de ces compteurs n’est pas suffisamment protecteur (II.).</w:t>
      </w:r>
    </w:p>
    <w:p>
      <w:pPr>
        <w:spacing w:line="255" w:lineRule="exact"/>
        <w:rPr>
          <w:rFonts w:ascii="Liberation Serif" w:hAnsi="Liberation Serif"/>
          <w:color w:val="371B00"/>
          <w:sz w:val="24"/>
        </w:rPr>
      </w:pPr>
    </w:p>
    <w:p>
      <w:pPr>
        <w:spacing w:line="255" w:lineRule="exact"/>
        <w:rPr>
          <w:rFonts w:ascii="Liberation Serif" w:hAnsi="Liberation Serif"/>
          <w:sz w:val="24"/>
        </w:rPr>
      </w:pPr>
      <w:r>
        <w:rPr>
          <w:rFonts w:ascii="Liberation Serif" w:hAnsi="Liberation Serif"/>
          <w:b/>
          <w:color w:val="371B00"/>
          <w:sz w:val="24"/>
        </w:rPr>
        <w:t>I.</w:t>
      </w:r>
      <w:r>
        <w:rPr>
          <w:rFonts w:ascii="Liberation Serif" w:hAnsi="Liberation Serif"/>
          <w:color w:val="371B00"/>
          <w:sz w:val="24"/>
        </w:rPr>
        <w:t xml:space="preserve"> En effet, le déploiement de ces compteurs communicants a été décidé sans consultation préalable du public et il s’opère aujourd’hui, à marche forcée, sans que le consentement des personnes ne soit ni recueilli, ni même sollicité.</w:t>
      </w:r>
    </w:p>
    <w:p>
      <w:pPr>
        <w:spacing w:line="255" w:lineRule="exact"/>
        <w:rPr>
          <w:rFonts w:ascii="Liberation Serif" w:hAnsi="Liberation Serif"/>
          <w:sz w:val="24"/>
        </w:rPr>
      </w:pPr>
      <w:r>
        <w:rPr>
          <w:rFonts w:ascii="Liberation Serif" w:hAnsi="Liberation Serif"/>
          <w:color w:val="371B00"/>
          <w:sz w:val="24"/>
        </w:rPr>
        <w:t xml:space="preserve">La société </w:t>
      </w:r>
      <w:r>
        <w:rPr>
          <w:rFonts w:ascii="Liberation Serif" w:hAnsi="Liberation Serif"/>
          <w:caps/>
          <w:color w:val="371B00"/>
          <w:sz w:val="24"/>
        </w:rPr>
        <w:t>Enedis</w:t>
      </w:r>
      <w:r>
        <w:rPr>
          <w:rFonts w:ascii="Liberation Serif" w:hAnsi="Liberation Serif"/>
          <w:color w:val="371B00"/>
          <w:sz w:val="24"/>
        </w:rPr>
        <w:t xml:space="preserve">, en charge de ce déploiement, indique en effet très clairement aux personnes qu’elles n’ont pas leur mot à dire sur le remplacement des compteurs, lesquels n’appartiennent pas aux particuliers. S’il est vrai que les compteurs électriques n’appartiennent pas aux personnes, ils n’appartiennent pas non plus à </w:t>
      </w:r>
      <w:r>
        <w:rPr>
          <w:rFonts w:ascii="Liberation Serif" w:hAnsi="Liberation Serif"/>
          <w:caps/>
          <w:color w:val="371B00"/>
          <w:sz w:val="24"/>
        </w:rPr>
        <w:t>Enedis</w:t>
      </w:r>
      <w:r>
        <w:rPr>
          <w:rFonts w:ascii="Liberation Serif" w:hAnsi="Liberation Serif"/>
          <w:color w:val="371B00"/>
          <w:sz w:val="24"/>
        </w:rPr>
        <w:t xml:space="preserve">. </w:t>
      </w:r>
      <w:r>
        <w:rPr>
          <w:rFonts w:ascii="Liberation Serif" w:hAnsi="Liberation Serif"/>
          <w:b/>
          <w:bCs/>
          <w:color w:val="371B00"/>
          <w:sz w:val="24"/>
        </w:rPr>
        <w:t xml:space="preserve">Ils sont en revanche la propriété des autorités </w:t>
      </w:r>
      <w:proofErr w:type="spellStart"/>
      <w:r>
        <w:rPr>
          <w:rFonts w:ascii="Liberation Serif" w:hAnsi="Liberation Serif"/>
          <w:b/>
          <w:bCs/>
          <w:color w:val="371B00"/>
          <w:sz w:val="24"/>
        </w:rPr>
        <w:t>concédantes</w:t>
      </w:r>
      <w:proofErr w:type="spellEnd"/>
      <w:r>
        <w:rPr>
          <w:rFonts w:ascii="Liberation Serif" w:hAnsi="Liberation Serif"/>
          <w:b/>
          <w:bCs/>
          <w:color w:val="371B00"/>
          <w:sz w:val="24"/>
        </w:rPr>
        <w:t>, en application de l’article L. 322-4 du code de l’énergie, au nombre desquelles figurent les Communes.</w:t>
      </w:r>
    </w:p>
    <w:p>
      <w:pPr>
        <w:spacing w:line="255" w:lineRule="exact"/>
        <w:rPr>
          <w:rFonts w:ascii="Liberation Serif" w:hAnsi="Liberation Serif"/>
          <w:color w:val="371B00"/>
          <w:sz w:val="24"/>
        </w:rPr>
      </w:pPr>
    </w:p>
    <w:p>
      <w:pPr>
        <w:spacing w:line="255" w:lineRule="exact"/>
        <w:rPr>
          <w:rFonts w:ascii="Liberation Serif" w:hAnsi="Liberation Serif"/>
          <w:color w:val="371B00"/>
          <w:sz w:val="24"/>
        </w:rPr>
      </w:pPr>
      <w:r>
        <w:rPr>
          <w:rFonts w:ascii="Liberation Serif" w:hAnsi="Liberation Serif"/>
          <w:b/>
          <w:bCs/>
          <w:color w:val="371B00"/>
          <w:sz w:val="24"/>
        </w:rPr>
        <w:t>Aussi, en tant que propriétaire, il vous revient de préserver les biens du domaine public de la Commune et seul le Conseil municipal peut se prononcer sur la désaffectation et le déclassement des compteurs existants.</w:t>
      </w:r>
      <w:r>
        <w:rPr>
          <w:rFonts w:ascii="Liberation Serif" w:hAnsi="Liberation Serif"/>
          <w:color w:val="371B00"/>
          <w:sz w:val="24"/>
        </w:rPr>
        <w:t xml:space="preserve"> Au contraire, il apparaît que la Commune n’a pas été consultée sur cette élimination des compteurs existants. Une telle consultation lui aurait permis de prévoir qu’elle ne serait possible que si les personnes concernées y consentent.</w:t>
      </w:r>
    </w:p>
    <w:p>
      <w:pPr>
        <w:spacing w:line="255" w:lineRule="exact"/>
        <w:rPr>
          <w:rFonts w:ascii="Liberation Serif" w:hAnsi="Liberation Serif"/>
          <w:color w:val="371B00"/>
          <w:sz w:val="24"/>
        </w:rPr>
      </w:pPr>
    </w:p>
    <w:p>
      <w:pPr>
        <w:spacing w:line="255" w:lineRule="exact"/>
        <w:rPr>
          <w:rFonts w:ascii="Liberation Serif" w:hAnsi="Liberation Serif"/>
          <w:color w:val="371B00"/>
          <w:sz w:val="24"/>
        </w:rPr>
      </w:pPr>
      <w:r>
        <w:rPr>
          <w:rFonts w:ascii="Liberation Serif" w:hAnsi="Liberation Serif"/>
          <w:color w:val="371B00"/>
          <w:sz w:val="24"/>
        </w:rPr>
        <w:t>Dans ce contexte, je vous enjoins de prendre une délibération interdisant l’élimination des compteurs existants, notamment pour les personnes qui n’y seraient pas favorables.</w:t>
      </w:r>
    </w:p>
    <w:p>
      <w:pPr>
        <w:spacing w:line="255" w:lineRule="exact"/>
        <w:rPr>
          <w:rFonts w:ascii="Liberation Serif" w:hAnsi="Liberation Serif"/>
          <w:color w:val="371B00"/>
          <w:sz w:val="24"/>
        </w:rPr>
      </w:pPr>
      <w:r>
        <w:rPr>
          <w:rFonts w:ascii="Liberation Serif" w:hAnsi="Liberation Serif"/>
          <w:color w:val="371B00"/>
          <w:sz w:val="24"/>
        </w:rPr>
        <w:t xml:space="preserve">Il peut, en effet, être souligné que les compteurs existants fonctionnent parfaitement et remplissent, d’ores et déjà, les exigences européennes relatives à l’information des consommateurs sur leur consommation et à la faculté pour les fournisseurs de proposer des tarifs différenciés selon le profil de consommation de leurs abonnés. </w:t>
      </w:r>
    </w:p>
    <w:p>
      <w:pPr>
        <w:spacing w:line="255" w:lineRule="exact"/>
        <w:rPr>
          <w:rFonts w:ascii="Liberation Serif" w:hAnsi="Liberation Serif"/>
          <w:color w:val="371B00"/>
          <w:sz w:val="24"/>
        </w:rPr>
      </w:pPr>
    </w:p>
    <w:p>
      <w:pPr>
        <w:spacing w:line="255" w:lineRule="exact"/>
        <w:rPr>
          <w:rFonts w:ascii="Liberation Serif" w:hAnsi="Liberation Serif"/>
          <w:color w:val="371B00"/>
          <w:sz w:val="24"/>
        </w:rPr>
      </w:pPr>
      <w:r>
        <w:rPr>
          <w:rFonts w:ascii="Liberation Serif" w:hAnsi="Liberation Serif"/>
          <w:color w:val="371B00"/>
          <w:sz w:val="24"/>
        </w:rPr>
        <w:t xml:space="preserve">En outre, ces compteurs, par les champs électromagnétiques qu’ils </w:t>
      </w:r>
      <w:proofErr w:type="spellStart"/>
      <w:r>
        <w:rPr>
          <w:rFonts w:ascii="Liberation Serif" w:hAnsi="Liberation Serif"/>
          <w:color w:val="371B00"/>
          <w:sz w:val="24"/>
        </w:rPr>
        <w:t>générent</w:t>
      </w:r>
      <w:proofErr w:type="spellEnd"/>
      <w:r>
        <w:rPr>
          <w:rFonts w:ascii="Liberation Serif" w:hAnsi="Liberation Serif"/>
          <w:color w:val="371B00"/>
          <w:sz w:val="24"/>
        </w:rPr>
        <w:t>, ont des effets directs et significatifs sur l’environnement, en ce qu’ils imposent de nouveaux champs au brouillard électromagnétique dans lequel nous évoluons.</w:t>
      </w:r>
    </w:p>
    <w:p>
      <w:pPr>
        <w:spacing w:line="255" w:lineRule="exact"/>
        <w:rPr>
          <w:rFonts w:ascii="Liberation Serif" w:hAnsi="Liberation Serif"/>
          <w:color w:val="371B00"/>
          <w:sz w:val="24"/>
        </w:rPr>
      </w:pPr>
    </w:p>
    <w:p>
      <w:pPr>
        <w:spacing w:line="255" w:lineRule="exact"/>
        <w:rPr>
          <w:rFonts w:ascii="Liberation Serif" w:hAnsi="Liberation Serif"/>
          <w:color w:val="371B00"/>
          <w:sz w:val="24"/>
        </w:rPr>
      </w:pPr>
      <w:r>
        <w:rPr>
          <w:rFonts w:ascii="Liberation Serif" w:hAnsi="Liberation Serif"/>
          <w:color w:val="371B00"/>
          <w:sz w:val="24"/>
        </w:rPr>
        <w:t xml:space="preserve">Or, les décisions réglementaires qui ont de tels effets sur l’environnement doivent, en vertu de l’article L. 123-19-1 du code de l’environnement, être précédées d’une procédure de consultation du public et les dispositions réglementaires prévoyant le déploiement de ces compteurs, à savoir les articles R. 341-4 et R. 341-8 du code de l’énergie, n’ont pas été précédées d’une telle procédure. </w:t>
      </w:r>
    </w:p>
    <w:p>
      <w:pPr>
        <w:spacing w:line="255" w:lineRule="exact"/>
        <w:rPr>
          <w:rFonts w:ascii="Liberation Serif" w:hAnsi="Liberation Serif"/>
          <w:color w:val="371B00"/>
          <w:sz w:val="24"/>
        </w:rPr>
      </w:pPr>
      <w:r>
        <w:rPr>
          <w:rFonts w:ascii="Liberation Serif" w:hAnsi="Liberation Serif"/>
          <w:color w:val="371B00"/>
          <w:sz w:val="24"/>
        </w:rPr>
        <w:t>Il en résulte que la décision de déployer ces compteurs communicants (R. 341-4 du code de l’énergie) et celle fixant le calendrier de ce déploiement (R. 341-8 du code de l’énergie) ont été prises au terme d’une procédure irrégulière, ce dont qui doit vous faire conclure à leur illégalité.</w:t>
      </w:r>
    </w:p>
    <w:p>
      <w:pPr>
        <w:spacing w:line="255" w:lineRule="exact"/>
        <w:rPr>
          <w:rFonts w:ascii="Liberation Serif" w:hAnsi="Liberation Serif"/>
          <w:color w:val="371B00"/>
          <w:sz w:val="24"/>
        </w:rPr>
      </w:pPr>
      <w:r>
        <w:rPr>
          <w:rFonts w:ascii="Liberation Serif" w:hAnsi="Liberation Serif"/>
          <w:color w:val="371B00"/>
          <w:sz w:val="24"/>
        </w:rPr>
        <w:t>Il ne peut donc pas être valablement soutenu qu’il existerait une obligation légale de déployer ces compteurs, et ce d’autant moins que leur fonctionnement ne permet pas de garantir suffisamment le droit des personnes.</w:t>
      </w:r>
    </w:p>
    <w:p>
      <w:pPr>
        <w:spacing w:line="255" w:lineRule="exact"/>
        <w:rPr>
          <w:rFonts w:ascii="Liberation Serif" w:hAnsi="Liberation Serif"/>
          <w:color w:val="371B00"/>
          <w:sz w:val="24"/>
        </w:rPr>
      </w:pPr>
    </w:p>
    <w:p>
      <w:pPr>
        <w:spacing w:line="255" w:lineRule="exact"/>
        <w:rPr>
          <w:rFonts w:ascii="Liberation Serif" w:hAnsi="Liberation Serif"/>
          <w:sz w:val="24"/>
        </w:rPr>
      </w:pPr>
      <w:r>
        <w:rPr>
          <w:rFonts w:ascii="Liberation Serif" w:hAnsi="Liberation Serif"/>
          <w:b/>
          <w:color w:val="371B00"/>
          <w:sz w:val="24"/>
        </w:rPr>
        <w:t xml:space="preserve">II. </w:t>
      </w:r>
      <w:r>
        <w:rPr>
          <w:rFonts w:ascii="Liberation Serif" w:hAnsi="Liberation Serif"/>
          <w:b/>
          <w:bCs/>
          <w:color w:val="371B00"/>
          <w:sz w:val="24"/>
        </w:rPr>
        <w:t>Ces compteurs communicants présentent des enjeux forts en termes de protection des données personnelles, sur lesquels la CNIL s’est plusieurs fois prononcée.</w:t>
      </w:r>
    </w:p>
    <w:p>
      <w:pPr>
        <w:spacing w:line="255" w:lineRule="exact"/>
        <w:rPr>
          <w:rFonts w:ascii="Liberation Serif" w:hAnsi="Liberation Serif"/>
          <w:color w:val="371B00"/>
          <w:sz w:val="24"/>
        </w:rPr>
      </w:pPr>
    </w:p>
    <w:p>
      <w:pPr>
        <w:spacing w:line="255" w:lineRule="exact"/>
        <w:rPr>
          <w:rFonts w:ascii="Liberation Serif" w:hAnsi="Liberation Serif"/>
          <w:color w:val="371B00"/>
          <w:sz w:val="24"/>
        </w:rPr>
      </w:pPr>
      <w:r>
        <w:rPr>
          <w:rFonts w:ascii="Liberation Serif" w:hAnsi="Liberation Serif"/>
          <w:color w:val="371B00"/>
          <w:sz w:val="24"/>
        </w:rPr>
        <w:t xml:space="preserve">Or, il apparaît que le déploiement des compteurs n’a pas été conduit jusqu’à présent en respectant strictement les exigences énoncées par la CNIL. </w:t>
      </w:r>
    </w:p>
    <w:p>
      <w:pPr>
        <w:spacing w:line="255" w:lineRule="exact"/>
        <w:rPr>
          <w:rFonts w:ascii="Liberation Serif" w:hAnsi="Liberation Serif"/>
          <w:color w:val="3C2000"/>
          <w:sz w:val="24"/>
        </w:rPr>
      </w:pPr>
      <w:r>
        <w:rPr>
          <w:rFonts w:ascii="Liberation Serif" w:hAnsi="Liberation Serif"/>
          <w:color w:val="3C2000"/>
          <w:sz w:val="24"/>
        </w:rPr>
        <w:t xml:space="preserve">A titre d’exemples, l’enregistrement de la courbe de charge dans le compteur retient, par défaut, un pas de temps demi-horaire, alors que la CNIL a exigé, dans sa délibération du 12 novembre 2012 explicitée sur ce point le 15 novembre 2015, que le pas de temps soit tout au plus horaire, et ce lorsque l’usager ne s’est pas opposé à cet enregistrement. </w:t>
      </w:r>
    </w:p>
    <w:p>
      <w:pPr>
        <w:spacing w:line="255" w:lineRule="exact"/>
        <w:rPr>
          <w:rFonts w:ascii="Liberation Serif" w:hAnsi="Liberation Serif"/>
          <w:sz w:val="24"/>
        </w:rPr>
      </w:pPr>
      <w:r>
        <w:rPr>
          <w:rFonts w:ascii="Liberation Serif" w:hAnsi="Liberation Serif"/>
          <w:color w:val="3C2000"/>
          <w:sz w:val="24"/>
        </w:rPr>
        <w:t xml:space="preserve">De même, le consentement des usagers pour la transmission de leur courbe de charge à des tiers n’est pas recueilli par le gestionnaire du réseau, contrairement à la recommandation de la CNIL du 12 novembre 2012. Celui-ci ne peut donc pas contrôler </w:t>
      </w:r>
      <w:r>
        <w:rPr>
          <w:rFonts w:ascii="Liberation Serif" w:hAnsi="Liberation Serif"/>
          <w:i/>
          <w:color w:val="3C2000"/>
          <w:sz w:val="24"/>
        </w:rPr>
        <w:t xml:space="preserve">a priori </w:t>
      </w:r>
      <w:r>
        <w:rPr>
          <w:rFonts w:ascii="Liberation Serif" w:hAnsi="Liberation Serif"/>
          <w:color w:val="3C2000"/>
          <w:sz w:val="24"/>
        </w:rPr>
        <w:t>le caractère libre, éclairé, spécifique et exprès de ce consentement.</w:t>
      </w:r>
    </w:p>
    <w:p>
      <w:pPr>
        <w:spacing w:line="255" w:lineRule="exact"/>
        <w:rPr>
          <w:rFonts w:ascii="Liberation Serif" w:hAnsi="Liberation Serif"/>
          <w:color w:val="3C2000"/>
          <w:sz w:val="24"/>
        </w:rPr>
      </w:pPr>
      <w:r>
        <w:rPr>
          <w:rFonts w:ascii="Liberation Serif" w:hAnsi="Liberation Serif"/>
          <w:color w:val="3C2000"/>
          <w:sz w:val="24"/>
        </w:rPr>
        <w:t> </w:t>
      </w:r>
    </w:p>
    <w:p>
      <w:pPr>
        <w:spacing w:line="255" w:lineRule="exact"/>
        <w:rPr>
          <w:rFonts w:ascii="Liberation Serif" w:hAnsi="Liberation Serif"/>
          <w:color w:val="3C2000"/>
          <w:sz w:val="24"/>
        </w:rPr>
      </w:pPr>
      <w:r>
        <w:rPr>
          <w:rFonts w:ascii="Liberation Serif" w:hAnsi="Liberation Serif"/>
          <w:color w:val="3C2000"/>
          <w:sz w:val="24"/>
        </w:rPr>
        <w:t xml:space="preserve">Encore, les conditions générales de vente attachées aux contrats de fourniture d’énergie n’apportent aux usagers aucune information sur leurs droits et ne garantissent pas le recueil d’un consentement libre, éclairé, spécifique et exprès des usagers pour le traitement, par les fournisseurs d’énergie et les sociétés tierces, de la courbe de charge générée par le compteur </w:t>
      </w:r>
      <w:proofErr w:type="spellStart"/>
      <w:r>
        <w:rPr>
          <w:rFonts w:ascii="Liberation Serif" w:hAnsi="Liberation Serif"/>
          <w:color w:val="3C2000"/>
          <w:sz w:val="24"/>
        </w:rPr>
        <w:t>Linky</w:t>
      </w:r>
      <w:proofErr w:type="spellEnd"/>
      <w:r>
        <w:rPr>
          <w:rFonts w:ascii="Liberation Serif" w:hAnsi="Liberation Serif"/>
          <w:color w:val="3C2000"/>
          <w:sz w:val="24"/>
        </w:rPr>
        <w:t>.</w:t>
      </w:r>
    </w:p>
    <w:p>
      <w:pPr>
        <w:spacing w:line="255" w:lineRule="exact"/>
        <w:rPr>
          <w:rFonts w:ascii="Liberation Serif" w:hAnsi="Liberation Serif"/>
          <w:color w:val="3C2000"/>
          <w:sz w:val="24"/>
        </w:rPr>
      </w:pPr>
    </w:p>
    <w:p>
      <w:pPr>
        <w:spacing w:line="255" w:lineRule="exact"/>
        <w:rPr>
          <w:rFonts w:ascii="Liberation Serif" w:hAnsi="Liberation Serif"/>
          <w:color w:val="3C2000"/>
          <w:sz w:val="24"/>
        </w:rPr>
      </w:pPr>
      <w:r>
        <w:rPr>
          <w:rFonts w:ascii="Liberation Serif" w:hAnsi="Liberation Serif"/>
          <w:color w:val="3C2000"/>
          <w:sz w:val="24"/>
        </w:rPr>
        <w:t xml:space="preserve">Il va de soi que le déploiement d’un dispositif de collecte de données personnelles qui ne respecte pas les recommandations de la CNIL constitue </w:t>
      </w:r>
      <w:r>
        <w:rPr>
          <w:rFonts w:ascii="Liberation Serif" w:hAnsi="Liberation Serif"/>
          <w:b/>
          <w:bCs/>
          <w:color w:val="3C2000"/>
          <w:sz w:val="24"/>
        </w:rPr>
        <w:t xml:space="preserve">une atteinte à la tranquillité publique qu’il appartient au Maire de prévenir, en vertu de ses pouvoirs de police. </w:t>
      </w:r>
    </w:p>
    <w:p>
      <w:pPr>
        <w:spacing w:line="255" w:lineRule="exact"/>
        <w:rPr>
          <w:rFonts w:ascii="Liberation Serif" w:hAnsi="Liberation Serif"/>
          <w:color w:val="371B00"/>
          <w:sz w:val="24"/>
        </w:rPr>
      </w:pPr>
    </w:p>
    <w:p>
      <w:pPr>
        <w:spacing w:line="255" w:lineRule="exact"/>
        <w:rPr>
          <w:rFonts w:ascii="Liberation Serif" w:hAnsi="Liberation Serif"/>
          <w:b/>
          <w:bCs/>
          <w:color w:val="371B00"/>
          <w:sz w:val="24"/>
        </w:rPr>
      </w:pPr>
      <w:r>
        <w:rPr>
          <w:rFonts w:ascii="Liberation Serif" w:hAnsi="Liberation Serif"/>
          <w:b/>
          <w:bCs/>
          <w:color w:val="371B00"/>
          <w:sz w:val="24"/>
        </w:rPr>
        <w:t xml:space="preserve">Dans ce contexte, il est urgent de formuler auprès de la CNIL une demande de vérification de la régularité du déploiement du compteur </w:t>
      </w:r>
      <w:proofErr w:type="spellStart"/>
      <w:r>
        <w:rPr>
          <w:rFonts w:ascii="Liberation Serif" w:hAnsi="Liberation Serif"/>
          <w:b/>
          <w:bCs/>
          <w:color w:val="371B00"/>
          <w:sz w:val="24"/>
        </w:rPr>
        <w:t>Linky</w:t>
      </w:r>
      <w:proofErr w:type="spellEnd"/>
      <w:r>
        <w:rPr>
          <w:rFonts w:ascii="Liberation Serif" w:hAnsi="Liberation Serif"/>
          <w:b/>
          <w:bCs/>
          <w:color w:val="371B00"/>
          <w:sz w:val="24"/>
        </w:rPr>
        <w:t xml:space="preserve"> et de suspendre, par arrêté, le déploiement de ce compteur pendant le temps nécessaire à cette vérification.</w:t>
      </w:r>
    </w:p>
    <w:p>
      <w:pPr>
        <w:spacing w:line="255" w:lineRule="exact"/>
        <w:rPr>
          <w:rFonts w:ascii="Liberation Serif" w:hAnsi="Liberation Serif"/>
          <w:color w:val="371B00"/>
          <w:sz w:val="24"/>
        </w:rPr>
      </w:pPr>
    </w:p>
    <w:p>
      <w:pPr>
        <w:spacing w:line="255" w:lineRule="exact"/>
        <w:rPr>
          <w:rFonts w:ascii="Liberation Serif" w:hAnsi="Liberation Serif"/>
          <w:color w:val="371B00"/>
          <w:sz w:val="24"/>
        </w:rPr>
      </w:pPr>
      <w:r>
        <w:rPr>
          <w:rFonts w:ascii="Liberation Serif" w:hAnsi="Liberation Serif"/>
          <w:color w:val="371B00"/>
          <w:sz w:val="24"/>
        </w:rPr>
        <w:t>En outre, il conviendrait que vous vous portiez garants du bon déroulement des opérations d’installation des compteurs, qui génèrent de fortes réticences parmi les habitants de la commune, peuvent notamment impliquer l’entrée dans le domicile des personnes, et ont déjà, dans de nombreux cas, été mises en œuvre par la force ou la ruse. Il serait ainsi particulièrement opportun qu’un règlement fixant la procédure à suivre par les entreprises en charge des installations soit élaboré par arrêté du Maire, lequel agirait alors au titre de ses pouvoirs d’exécution de la loi.</w:t>
      </w:r>
    </w:p>
    <w:p>
      <w:pPr>
        <w:spacing w:line="255" w:lineRule="exact"/>
        <w:rPr>
          <w:rFonts w:ascii="Liberation Serif" w:hAnsi="Liberation Serif"/>
          <w:color w:val="371B00"/>
          <w:sz w:val="24"/>
        </w:rPr>
      </w:pPr>
    </w:p>
    <w:p>
      <w:pPr>
        <w:spacing w:line="255" w:lineRule="exact"/>
        <w:rPr>
          <w:rFonts w:ascii="Liberation Serif" w:hAnsi="Liberation Serif"/>
          <w:color w:val="371B00"/>
          <w:sz w:val="24"/>
        </w:rPr>
      </w:pPr>
      <w:r>
        <w:rPr>
          <w:rFonts w:ascii="Liberation Serif" w:hAnsi="Liberation Serif"/>
          <w:color w:val="371B00"/>
          <w:sz w:val="24"/>
        </w:rPr>
        <w:t>Aussi, je vous invite à prendre dès que possible :</w:t>
      </w:r>
    </w:p>
    <w:p>
      <w:pPr>
        <w:spacing w:line="255" w:lineRule="exact"/>
        <w:rPr>
          <w:rFonts w:ascii="Liberation Serif" w:hAnsi="Liberation Serif"/>
          <w:color w:val="371B00"/>
          <w:sz w:val="24"/>
        </w:rPr>
      </w:pPr>
      <w:r>
        <w:rPr>
          <w:rFonts w:ascii="Liberation Serif" w:hAnsi="Liberation Serif"/>
          <w:color w:val="371B00"/>
          <w:sz w:val="24"/>
        </w:rPr>
        <w:t xml:space="preserve"> </w:t>
      </w:r>
    </w:p>
    <w:p>
      <w:pPr>
        <w:numPr>
          <w:ilvl w:val="0"/>
          <w:numId w:val="1"/>
        </w:numPr>
        <w:spacing w:line="255" w:lineRule="exact"/>
        <w:rPr>
          <w:rFonts w:ascii="Liberation Serif" w:hAnsi="Liberation Serif"/>
          <w:color w:val="371B00"/>
          <w:sz w:val="24"/>
        </w:rPr>
      </w:pPr>
      <w:r>
        <w:rPr>
          <w:rFonts w:ascii="Liberation Serif" w:hAnsi="Liberation Serif"/>
          <w:b/>
          <w:bCs/>
          <w:color w:val="371B00"/>
          <w:sz w:val="24"/>
        </w:rPr>
        <w:lastRenderedPageBreak/>
        <w:t>une délibération du Conseil Municipal refusant le déclassement des compteurs existants et interdisant leur élimination ;</w:t>
      </w:r>
      <w:r>
        <w:rPr>
          <w:rFonts w:ascii="Liberation Serif" w:hAnsi="Liberation Serif"/>
          <w:color w:val="371B00"/>
          <w:sz w:val="24"/>
        </w:rPr>
        <w:t xml:space="preserve"> </w:t>
      </w:r>
    </w:p>
    <w:p>
      <w:pPr>
        <w:numPr>
          <w:ilvl w:val="0"/>
          <w:numId w:val="1"/>
        </w:numPr>
        <w:spacing w:line="255" w:lineRule="exact"/>
        <w:rPr>
          <w:rFonts w:ascii="Liberation Serif" w:hAnsi="Liberation Serif"/>
          <w:b/>
          <w:bCs/>
          <w:color w:val="371B00"/>
          <w:sz w:val="24"/>
        </w:rPr>
      </w:pPr>
      <w:r>
        <w:rPr>
          <w:rFonts w:ascii="Liberation Serif" w:hAnsi="Liberation Serif"/>
          <w:b/>
          <w:bCs/>
          <w:color w:val="371B00"/>
          <w:sz w:val="24"/>
        </w:rPr>
        <w:t xml:space="preserve">un arrêté du Maire suspendant le déploiement du compteur </w:t>
      </w:r>
      <w:proofErr w:type="spellStart"/>
      <w:r>
        <w:rPr>
          <w:rFonts w:ascii="Liberation Serif" w:hAnsi="Liberation Serif"/>
          <w:b/>
          <w:bCs/>
          <w:color w:val="371B00"/>
          <w:sz w:val="24"/>
        </w:rPr>
        <w:t>Linky</w:t>
      </w:r>
      <w:proofErr w:type="spellEnd"/>
      <w:r>
        <w:rPr>
          <w:rFonts w:ascii="Liberation Serif" w:hAnsi="Liberation Serif"/>
          <w:b/>
          <w:bCs/>
          <w:color w:val="371B00"/>
          <w:sz w:val="24"/>
        </w:rPr>
        <w:t xml:space="preserve"> sur la Commune tant que la CNIL ne se sera pas prononcée sur la demande de vérification formulée par la Commune ;</w:t>
      </w:r>
    </w:p>
    <w:p>
      <w:pPr>
        <w:numPr>
          <w:ilvl w:val="0"/>
          <w:numId w:val="1"/>
        </w:numPr>
        <w:spacing w:line="255" w:lineRule="exact"/>
        <w:rPr>
          <w:rFonts w:ascii="Liberation Serif" w:hAnsi="Liberation Serif"/>
          <w:b/>
          <w:bCs/>
          <w:color w:val="371B00"/>
          <w:sz w:val="24"/>
        </w:rPr>
      </w:pPr>
      <w:r>
        <w:rPr>
          <w:rFonts w:ascii="Liberation Serif" w:hAnsi="Liberation Serif"/>
          <w:b/>
          <w:bCs/>
          <w:color w:val="371B00"/>
          <w:sz w:val="24"/>
        </w:rPr>
        <w:t xml:space="preserve">un arrêté du Maire réglementant le déroulement des opérations de déploiement du compteur sur le territoire de la Commune. </w:t>
      </w:r>
    </w:p>
    <w:p>
      <w:pPr>
        <w:spacing w:line="255" w:lineRule="exact"/>
        <w:rPr>
          <w:rFonts w:ascii="Liberation Serif" w:hAnsi="Liberation Serif"/>
          <w:color w:val="371B00"/>
          <w:sz w:val="24"/>
        </w:rPr>
      </w:pPr>
    </w:p>
    <w:p>
      <w:pPr>
        <w:spacing w:line="255" w:lineRule="exact"/>
        <w:rPr>
          <w:rFonts w:ascii="Liberation Serif" w:hAnsi="Liberation Serif"/>
          <w:color w:val="371B00"/>
          <w:sz w:val="24"/>
        </w:rPr>
      </w:pPr>
      <w:r>
        <w:rPr>
          <w:rFonts w:ascii="Liberation Serif" w:hAnsi="Liberation Serif"/>
          <w:color w:val="371B00"/>
          <w:sz w:val="24"/>
        </w:rPr>
        <w:t>Me plaçant dans cette attente, je vous prie de recevoir, Madame, Monsieur le Maire, Mesdames, Messieurs les Conseillers Municipaux, l’assurance de ma sincère considération.</w:t>
      </w:r>
    </w:p>
    <w:p>
      <w:pPr>
        <w:spacing w:line="255" w:lineRule="exact"/>
        <w:rPr>
          <w:rFonts w:ascii="Liberation Serif" w:hAnsi="Liberation Serif"/>
          <w:color w:val="371B00"/>
          <w:sz w:val="24"/>
        </w:rPr>
      </w:pPr>
    </w:p>
    <w:p>
      <w:pPr>
        <w:spacing w:line="255" w:lineRule="exact"/>
        <w:rPr>
          <w:rFonts w:ascii="Liberation Serif" w:hAnsi="Liberation Serif"/>
          <w:color w:val="371B00"/>
          <w:sz w:val="24"/>
        </w:rPr>
      </w:pPr>
    </w:p>
    <w:p>
      <w:pPr>
        <w:spacing w:line="255" w:lineRule="exact"/>
        <w:ind w:left="6372"/>
        <w:rPr>
          <w:rFonts w:ascii="Liberation Serif" w:hAnsi="Liberation Serif"/>
          <w:i/>
          <w:color w:val="371B00"/>
          <w:sz w:val="24"/>
        </w:rPr>
      </w:pPr>
      <w:r>
        <w:rPr>
          <w:rFonts w:ascii="Liberation Serif" w:hAnsi="Liberation Serif"/>
          <w:i/>
          <w:color w:val="371B00"/>
          <w:sz w:val="24"/>
        </w:rPr>
        <w:t>Nom, prénom,</w:t>
      </w:r>
    </w:p>
    <w:p>
      <w:pPr>
        <w:spacing w:line="255" w:lineRule="exact"/>
        <w:ind w:left="6372"/>
        <w:rPr>
          <w:rFonts w:ascii="Liberation Serif" w:hAnsi="Liberation Serif"/>
          <w:i/>
          <w:color w:val="371B00"/>
          <w:sz w:val="24"/>
        </w:rPr>
      </w:pPr>
    </w:p>
    <w:p>
      <w:pPr>
        <w:spacing w:line="255" w:lineRule="exact"/>
        <w:ind w:left="6372"/>
        <w:rPr>
          <w:rFonts w:ascii="Liberation Serif" w:hAnsi="Liberation Serif"/>
          <w:i/>
          <w:color w:val="371B00"/>
          <w:sz w:val="24"/>
        </w:rPr>
      </w:pPr>
      <w:r>
        <w:rPr>
          <w:rFonts w:ascii="Liberation Serif" w:hAnsi="Liberation Serif"/>
          <w:i/>
          <w:color w:val="371B00"/>
          <w:sz w:val="24"/>
        </w:rPr>
        <w:t xml:space="preserve">Signature </w:t>
      </w:r>
    </w:p>
    <w:p>
      <w:pPr>
        <w:spacing w:line="255" w:lineRule="exact"/>
        <w:rPr>
          <w:rFonts w:ascii="Liberation Serif" w:hAnsi="Liberation Serif"/>
          <w:color w:val="371B00"/>
          <w:sz w:val="24"/>
        </w:rPr>
      </w:pPr>
    </w:p>
    <w:p>
      <w:pPr>
        <w:spacing w:line="255" w:lineRule="exact"/>
        <w:jc w:val="center"/>
        <w:rPr>
          <w:rFonts w:ascii="Liberation Serif" w:hAnsi="Liberation Serif"/>
          <w:sz w:val="24"/>
        </w:rPr>
      </w:pPr>
    </w:p>
    <w:sectPr>
      <w:headerReference w:type="default" r:id="rId7"/>
      <w:pgSz w:w="11906" w:h="16838"/>
      <w:pgMar w:top="1247" w:right="1418" w:bottom="1276" w:left="1418" w:header="284"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Vu Sans">
    <w:panose1 w:val="00000000000000000000"/>
    <w:charset w:val="00"/>
    <w:family w:val="roman"/>
    <w:notTrueType/>
    <w:pitch w:val="default"/>
  </w:font>
  <w:font w:name="Abadi MT Condensed Light">
    <w:altName w:val="Times New Roman"/>
    <w:charset w:val="01"/>
    <w:family w:val="roman"/>
    <w:pitch w:val="variable"/>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spacing w:before="240" w:after="24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13797"/>
    <w:multiLevelType w:val="multilevel"/>
    <w:tmpl w:val="C10C5A88"/>
    <w:lvl w:ilvl="0">
      <w:start w:val="1"/>
      <w:numFmt w:val="bullet"/>
      <w:lvlText w:val="-"/>
      <w:lvlJc w:val="left"/>
      <w:pPr>
        <w:ind w:left="720" w:hanging="360"/>
      </w:pPr>
      <w:rPr>
        <w:rFonts w:ascii="Arial" w:hAnsi="Arial"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9147877"/>
    <w:multiLevelType w:val="multilevel"/>
    <w:tmpl w:val="696272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69932-DE65-4697-ABB2-0221991E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DejaVu Sans"/>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exact"/>
      <w:jc w:val="both"/>
    </w:pPr>
    <w:rPr>
      <w:rFonts w:ascii="Arial" w:eastAsia="Times New Roman" w:hAnsi="Arial" w:cs="Times New Roman"/>
      <w:sz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eddepageCar">
    <w:name w:val="Pied de page Car"/>
    <w:basedOn w:val="DefaultParagraphFont"/>
    <w:qFormat/>
    <w:rPr>
      <w:rFonts w:ascii="Arial" w:eastAsia="Times New Roman" w:hAnsi="Arial" w:cs="Times New Roman"/>
      <w:sz w:val="18"/>
      <w:lang w:eastAsia="fr-FR"/>
    </w:rPr>
  </w:style>
  <w:style w:type="character" w:styleId="PageNumber">
    <w:name w:val="page number"/>
    <w:qFormat/>
    <w:rPr>
      <w:rFonts w:cs="Arial"/>
      <w:sz w:val="18"/>
      <w:szCs w:val="18"/>
    </w:rPr>
  </w:style>
  <w:style w:type="character" w:customStyle="1" w:styleId="En-tteCar">
    <w:name w:val="En-tête Car"/>
    <w:basedOn w:val="DefaultParagraphFont"/>
    <w:qFormat/>
    <w:rPr>
      <w:rFonts w:ascii="Arial" w:eastAsia="Times New Roman" w:hAnsi="Arial" w:cs="Times New Roman"/>
      <w:sz w:val="22"/>
      <w:lang w:eastAsia="fr-FR"/>
    </w:rPr>
  </w:style>
  <w:style w:type="character" w:customStyle="1" w:styleId="ListLabel1">
    <w:name w:val="ListLabel 1"/>
    <w:qFormat/>
    <w:rPr>
      <w:rFonts w:ascii="Abadi MT Condensed Light" w:eastAsia="Times New Roman" w:hAnsi="Abadi MT Condensed Light" w:cs="Times New Roman"/>
      <w:sz w:val="24"/>
    </w:rPr>
  </w:style>
  <w:style w:type="paragraph" w:customStyle="1" w:styleId="Titre">
    <w:name w:val="Titre"/>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rPr>
  </w:style>
  <w:style w:type="paragraph" w:customStyle="1" w:styleId="Index">
    <w:name w:val="Index"/>
    <w:basedOn w:val="Normal"/>
    <w:qFormat/>
    <w:pPr>
      <w:suppressLineNumbers/>
    </w:pPr>
    <w:rPr>
      <w:rFonts w:cs="Lohit Devanagari"/>
    </w:rPr>
  </w:style>
  <w:style w:type="paragraph" w:styleId="Footer">
    <w:name w:val="footer"/>
    <w:basedOn w:val="Normal"/>
    <w:pPr>
      <w:tabs>
        <w:tab w:val="center" w:pos="4536"/>
        <w:tab w:val="right" w:pos="9540"/>
      </w:tabs>
    </w:pPr>
    <w:rPr>
      <w:sz w:val="18"/>
    </w:rPr>
  </w:style>
  <w:style w:type="paragraph" w:styleId="Header">
    <w:name w:val="head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Cabinet d'avocat</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 MAGARINOS-REY</dc:creator>
  <dc:description/>
  <cp:lastModifiedBy>FX</cp:lastModifiedBy>
  <cp:revision>2</cp:revision>
  <dcterms:created xsi:type="dcterms:W3CDTF">2019-02-04T22:15:00Z</dcterms:created>
  <dcterms:modified xsi:type="dcterms:W3CDTF">2019-02-04T22:15:00Z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Company">
    <vt:lpwstr>Cabinet d'avocat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